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 Dobieranie elementów garderoby do pogody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object w:dxaOrig="10425" w:dyaOrig="12188">
          <v:rect xmlns:o="urn:schemas-microsoft-com:office:office" xmlns:v="urn:schemas-microsoft-com:vml" id="rectole0000000000" style="width:521.250000pt;height:609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0534" w:dyaOrig="10955">
          <v:rect xmlns:o="urn:schemas-microsoft-com:office:office" xmlns:v="urn:schemas-microsoft-com:vml" id="rectole0000000001" style="width:526.700000pt;height:547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0539" w:dyaOrig="13835">
          <v:rect xmlns:o="urn:schemas-microsoft-com:office:office" xmlns:v="urn:schemas-microsoft-com:vml" id="rectole0000000002" style="width:526.950000pt;height:691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10322" w:dyaOrig="14583">
          <v:rect xmlns:o="urn:schemas-microsoft-com:office:office" xmlns:v="urn:schemas-microsoft-com:vml" id="rectole0000000003" style="width:516.100000pt;height:729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